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8AFB6" w14:textId="4C616EB0" w:rsidR="008801A0" w:rsidRPr="008801A0" w:rsidRDefault="008801A0" w:rsidP="008801A0">
      <w:pPr>
        <w:pStyle w:val="Titel"/>
        <w:rPr>
          <w:color w:val="FFFFFF" w:themeColor="background1"/>
          <w:lang w:val="de-CH"/>
        </w:rPr>
      </w:pPr>
      <w:r w:rsidRPr="008801A0">
        <w:rPr>
          <w:noProof/>
          <w:u w:val="single"/>
        </w:rPr>
        <w:drawing>
          <wp:anchor distT="0" distB="0" distL="114300" distR="114300" simplePos="0" relativeHeight="251658240" behindDoc="1" locked="0" layoutInCell="1" allowOverlap="1" wp14:anchorId="5C6F0EC3" wp14:editId="5C539421">
            <wp:simplePos x="0" y="0"/>
            <wp:positionH relativeFrom="column">
              <wp:posOffset>-889635</wp:posOffset>
            </wp:positionH>
            <wp:positionV relativeFrom="paragraph">
              <wp:posOffset>-908685</wp:posOffset>
            </wp:positionV>
            <wp:extent cx="7607049" cy="2880360"/>
            <wp:effectExtent l="0" t="0" r="635" b="2540"/>
            <wp:wrapNone/>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07049" cy="28803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801A0">
        <w:rPr>
          <w:color w:val="FFFFFF" w:themeColor="background1"/>
          <w:u w:val="single"/>
          <w:lang w:val="de-CH"/>
        </w:rPr>
        <w:t>Predictive</w:t>
      </w:r>
      <w:proofErr w:type="spellEnd"/>
      <w:r w:rsidRPr="008801A0">
        <w:rPr>
          <w:color w:val="FFFFFF" w:themeColor="background1"/>
          <w:u w:val="single"/>
          <w:lang w:val="de-CH"/>
        </w:rPr>
        <w:t xml:space="preserve"> </w:t>
      </w:r>
      <w:proofErr w:type="spellStart"/>
      <w:r w:rsidRPr="008801A0">
        <w:rPr>
          <w:color w:val="FFFFFF" w:themeColor="background1"/>
          <w:u w:val="single"/>
          <w:lang w:val="de-CH"/>
        </w:rPr>
        <w:t>risk</w:t>
      </w:r>
      <w:proofErr w:type="spellEnd"/>
      <w:r w:rsidRPr="008801A0">
        <w:rPr>
          <w:color w:val="FFFFFF" w:themeColor="background1"/>
          <w:u w:val="single"/>
          <w:lang w:val="de-CH"/>
        </w:rPr>
        <w:t xml:space="preserve"> </w:t>
      </w:r>
      <w:proofErr w:type="spellStart"/>
      <w:r w:rsidRPr="008801A0">
        <w:rPr>
          <w:color w:val="FFFFFF" w:themeColor="background1"/>
          <w:u w:val="single"/>
          <w:lang w:val="de-CH"/>
        </w:rPr>
        <w:t>modeling</w:t>
      </w:r>
      <w:proofErr w:type="spellEnd"/>
      <w:r w:rsidRPr="008801A0">
        <w:rPr>
          <w:color w:val="FFFFFF" w:themeColor="background1"/>
          <w:u w:val="single"/>
          <w:lang w:val="de-CH"/>
        </w:rPr>
        <w:t xml:space="preserve"> im Kindesschutz</w:t>
      </w:r>
    </w:p>
    <w:p w14:paraId="20A9B2A9" w14:textId="225BC22B" w:rsidR="008801A0" w:rsidRDefault="008801A0" w:rsidP="008801A0">
      <w:pPr>
        <w:rPr>
          <w:lang w:val="de-CH"/>
        </w:rPr>
      </w:pPr>
    </w:p>
    <w:p w14:paraId="2937B332" w14:textId="67B77563" w:rsidR="008801A0" w:rsidRDefault="008801A0" w:rsidP="008801A0"/>
    <w:p w14:paraId="58E248AC" w14:textId="6EDA6BAB" w:rsidR="008801A0" w:rsidRDefault="008801A0" w:rsidP="008801A0">
      <w:pPr>
        <w:rPr>
          <w:noProof/>
        </w:rPr>
      </w:pPr>
    </w:p>
    <w:p w14:paraId="6BC16B49" w14:textId="2F5DFDA8" w:rsidR="008801A0" w:rsidRDefault="008801A0" w:rsidP="008801A0">
      <w:pPr>
        <w:rPr>
          <w:noProof/>
        </w:rPr>
      </w:pPr>
    </w:p>
    <w:p w14:paraId="43D8E156" w14:textId="724968C5" w:rsidR="008801A0" w:rsidRDefault="008801A0" w:rsidP="008801A0">
      <w:pPr>
        <w:rPr>
          <w:noProof/>
        </w:rPr>
      </w:pPr>
    </w:p>
    <w:p w14:paraId="0545472E" w14:textId="4DC85BB1" w:rsidR="008801A0" w:rsidRDefault="008801A0" w:rsidP="008801A0">
      <w:pPr>
        <w:rPr>
          <w:noProof/>
        </w:rPr>
      </w:pPr>
    </w:p>
    <w:p w14:paraId="1A72870B" w14:textId="36B3807F" w:rsidR="008801A0" w:rsidRDefault="008801A0" w:rsidP="008801A0">
      <w:pPr>
        <w:rPr>
          <w:noProof/>
        </w:rPr>
      </w:pPr>
    </w:p>
    <w:p w14:paraId="1F555743" w14:textId="280177FD" w:rsidR="008801A0" w:rsidRDefault="008801A0" w:rsidP="008801A0">
      <w:pPr>
        <w:rPr>
          <w:noProof/>
        </w:rPr>
      </w:pPr>
    </w:p>
    <w:p w14:paraId="5B64E5CC" w14:textId="48D0A87D" w:rsidR="008801A0" w:rsidRDefault="008801A0" w:rsidP="008801A0">
      <w:pPr>
        <w:rPr>
          <w:noProof/>
        </w:rPr>
      </w:pPr>
    </w:p>
    <w:p w14:paraId="07DC9409" w14:textId="3427E1D4" w:rsidR="008801A0" w:rsidRDefault="008801A0" w:rsidP="008801A0">
      <w:pPr>
        <w:rPr>
          <w:noProof/>
        </w:rPr>
      </w:pPr>
    </w:p>
    <w:p w14:paraId="487C9E3E" w14:textId="77777777" w:rsidR="008801A0" w:rsidRPr="001D54F6" w:rsidRDefault="008801A0" w:rsidP="008801A0">
      <w:pPr>
        <w:rPr>
          <w:rFonts w:ascii="Calibri" w:hAnsi="Calibri" w:cs="Calibri"/>
          <w:color w:val="000000"/>
          <w:sz w:val="27"/>
          <w:szCs w:val="27"/>
        </w:rPr>
      </w:pPr>
      <w:r w:rsidRPr="001D54F6">
        <w:rPr>
          <w:rFonts w:ascii="Calibri" w:hAnsi="Calibri" w:cs="Calibri"/>
          <w:color w:val="000000"/>
          <w:sz w:val="27"/>
          <w:szCs w:val="27"/>
          <w:lang w:val="de-CH"/>
        </w:rPr>
        <w:t xml:space="preserve">Vom Computer errechnete Risikoanalysen, auch </w:t>
      </w:r>
      <w:proofErr w:type="spellStart"/>
      <w:r w:rsidRPr="001D54F6">
        <w:rPr>
          <w:rFonts w:ascii="Calibri" w:hAnsi="Calibri" w:cs="Calibri"/>
          <w:color w:val="000000"/>
          <w:sz w:val="27"/>
          <w:szCs w:val="27"/>
          <w:lang w:val="de-CH"/>
        </w:rPr>
        <w:t>predictive</w:t>
      </w:r>
      <w:proofErr w:type="spellEnd"/>
      <w:r w:rsidRPr="001D54F6">
        <w:rPr>
          <w:rFonts w:ascii="Calibri" w:hAnsi="Calibri" w:cs="Calibri"/>
          <w:color w:val="000000"/>
          <w:sz w:val="27"/>
          <w:szCs w:val="27"/>
          <w:lang w:val="de-CH"/>
        </w:rPr>
        <w:t xml:space="preserve"> </w:t>
      </w:r>
      <w:proofErr w:type="spellStart"/>
      <w:r w:rsidRPr="001D54F6">
        <w:rPr>
          <w:rFonts w:ascii="Calibri" w:hAnsi="Calibri" w:cs="Calibri"/>
          <w:color w:val="000000"/>
          <w:sz w:val="27"/>
          <w:szCs w:val="27"/>
          <w:lang w:val="de-CH"/>
        </w:rPr>
        <w:t>risk</w:t>
      </w:r>
      <w:proofErr w:type="spellEnd"/>
      <w:r w:rsidRPr="001D54F6">
        <w:rPr>
          <w:rFonts w:ascii="Calibri" w:hAnsi="Calibri" w:cs="Calibri"/>
          <w:color w:val="000000"/>
          <w:sz w:val="27"/>
          <w:szCs w:val="27"/>
          <w:lang w:val="de-CH"/>
        </w:rPr>
        <w:t xml:space="preserve"> </w:t>
      </w:r>
      <w:proofErr w:type="spellStart"/>
      <w:r w:rsidRPr="001D54F6">
        <w:rPr>
          <w:rFonts w:ascii="Calibri" w:hAnsi="Calibri" w:cs="Calibri"/>
          <w:color w:val="000000"/>
          <w:sz w:val="27"/>
          <w:szCs w:val="27"/>
          <w:lang w:val="de-CH"/>
        </w:rPr>
        <w:t>modeling</w:t>
      </w:r>
      <w:proofErr w:type="spellEnd"/>
      <w:r w:rsidRPr="001D54F6">
        <w:rPr>
          <w:rFonts w:ascii="Calibri" w:hAnsi="Calibri" w:cs="Calibri"/>
          <w:color w:val="000000"/>
          <w:sz w:val="27"/>
          <w:szCs w:val="27"/>
          <w:lang w:val="de-CH"/>
        </w:rPr>
        <w:t xml:space="preserve"> genannt, werden im Feld der Sozialen Arbeit zunehmend genutzt, wobei die Möglichkeit der Anwendung unter anderem stark von den nationalen Gesetzten abhängt. In den Vereinigten Staaten wird </w:t>
      </w:r>
      <w:r w:rsidRPr="001D54F6">
        <w:rPr>
          <w:rFonts w:ascii="Calibri" w:hAnsi="Calibri" w:cs="Calibri"/>
          <w:color w:val="000000"/>
          <w:sz w:val="27"/>
          <w:szCs w:val="27"/>
        </w:rPr>
        <w:t>etwa mit dem “California Family Risk Assessment-Tool”</w:t>
      </w:r>
      <w:r w:rsidRPr="001D54F6">
        <w:rPr>
          <w:rFonts w:ascii="TimesNewRomanPS" w:hAnsi="TimesNewRomanPS" w:cs="Calibri"/>
          <w:i/>
          <w:iCs/>
          <w:color w:val="000000"/>
          <w:sz w:val="27"/>
          <w:szCs w:val="27"/>
        </w:rPr>
        <w:t> </w:t>
      </w:r>
      <w:r w:rsidRPr="001D54F6">
        <w:rPr>
          <w:rFonts w:ascii="TimesNewRomanPS" w:hAnsi="TimesNewRomanPS" w:cs="Calibri"/>
          <w:color w:val="000000"/>
          <w:sz w:val="27"/>
          <w:szCs w:val="27"/>
        </w:rPr>
        <w:t>die Wahrscheinlichkeit einer zukünftigen Kindeswohlverletzung anhand von Big Data berechnet (</w:t>
      </w:r>
      <w:hyperlink r:id="rId6" w:history="1">
        <w:r w:rsidRPr="001D54F6">
          <w:rPr>
            <w:rFonts w:ascii="TimesNewRomanPS" w:hAnsi="TimesNewRomanPS" w:cs="Calibri"/>
            <w:color w:val="954F72"/>
            <w:sz w:val="27"/>
            <w:szCs w:val="27"/>
            <w:u w:val="single"/>
          </w:rPr>
          <w:t>Schrödter, Bastian &amp; Taylor, 2018, S.6).</w:t>
        </w:r>
      </w:hyperlink>
      <w:r>
        <w:rPr>
          <w:rFonts w:ascii="Calibri" w:hAnsi="Calibri" w:cs="Calibri"/>
          <w:color w:val="000000"/>
          <w:sz w:val="27"/>
          <w:szCs w:val="27"/>
        </w:rPr>
        <w:t xml:space="preserve"> </w:t>
      </w:r>
      <w:r w:rsidRPr="001D54F6">
        <w:rPr>
          <w:rFonts w:ascii="TimesNewRomanPS" w:hAnsi="TimesNewRomanPS" w:cs="Calibri"/>
          <w:color w:val="000000"/>
          <w:sz w:val="27"/>
          <w:szCs w:val="27"/>
        </w:rPr>
        <w:t xml:space="preserve">Diese Risikoanalysen benötigen eine </w:t>
      </w:r>
      <w:proofErr w:type="spellStart"/>
      <w:r w:rsidRPr="001D54F6">
        <w:rPr>
          <w:rFonts w:ascii="TimesNewRomanPS" w:hAnsi="TimesNewRomanPS" w:cs="Calibri"/>
          <w:color w:val="000000"/>
          <w:sz w:val="27"/>
          <w:szCs w:val="27"/>
        </w:rPr>
        <w:t>grosse</w:t>
      </w:r>
      <w:proofErr w:type="spellEnd"/>
      <w:r w:rsidRPr="001D54F6">
        <w:rPr>
          <w:rFonts w:ascii="TimesNewRomanPS" w:hAnsi="TimesNewRomanPS" w:cs="Calibri"/>
          <w:color w:val="000000"/>
          <w:sz w:val="27"/>
          <w:szCs w:val="27"/>
        </w:rPr>
        <w:t xml:space="preserve"> Menge an sensiblen Daten, welche dann vom Programm ausgewertet werden. Zum Vergleich werden die verwendeten Daten des „</w:t>
      </w:r>
      <w:r w:rsidRPr="001D54F6">
        <w:rPr>
          <w:rFonts w:ascii="Calibri" w:hAnsi="Calibri" w:cs="Calibri"/>
          <w:color w:val="000000"/>
          <w:sz w:val="27"/>
          <w:szCs w:val="27"/>
        </w:rPr>
        <w:t>California Family Risk Assessment-Tool”</w:t>
      </w:r>
      <w:r w:rsidRPr="001D54F6">
        <w:rPr>
          <w:rFonts w:ascii="TimesNewRomanPS" w:hAnsi="TimesNewRomanPS" w:cs="Calibri"/>
          <w:color w:val="000000"/>
          <w:sz w:val="27"/>
          <w:szCs w:val="27"/>
        </w:rPr>
        <w:t> herangezogen, diese umfassen:</w:t>
      </w:r>
    </w:p>
    <w:p w14:paraId="6FCF8245" w14:textId="77777777" w:rsidR="008801A0" w:rsidRPr="00297862" w:rsidRDefault="008801A0" w:rsidP="008801A0">
      <w:pPr>
        <w:pStyle w:val="Listenabsatz"/>
        <w:numPr>
          <w:ilvl w:val="0"/>
          <w:numId w:val="1"/>
        </w:numPr>
        <w:spacing w:before="100" w:beforeAutospacing="1" w:after="100" w:afterAutospacing="1"/>
        <w:rPr>
          <w:color w:val="000000"/>
        </w:rPr>
      </w:pPr>
      <w:r w:rsidRPr="00297862">
        <w:rPr>
          <w:color w:val="000000"/>
        </w:rPr>
        <w:t>Anzahl bisheriger Meldungen</w:t>
      </w:r>
      <w:r w:rsidRPr="00297862">
        <w:rPr>
          <w:rFonts w:eastAsia="Times New Roman"/>
          <w:color w:val="000000"/>
        </w:rPr>
        <w:t> </w:t>
      </w:r>
    </w:p>
    <w:p w14:paraId="06C5716E" w14:textId="77777777" w:rsidR="008801A0" w:rsidRPr="00297862" w:rsidRDefault="008801A0" w:rsidP="008801A0">
      <w:pPr>
        <w:pStyle w:val="Listenabsatz"/>
        <w:numPr>
          <w:ilvl w:val="0"/>
          <w:numId w:val="1"/>
        </w:numPr>
        <w:spacing w:before="100" w:beforeAutospacing="1" w:after="100" w:afterAutospacing="1"/>
        <w:rPr>
          <w:color w:val="000000"/>
        </w:rPr>
      </w:pPr>
      <w:r w:rsidRPr="00297862">
        <w:rPr>
          <w:color w:val="000000"/>
        </w:rPr>
        <w:t>zuvor gewährte Hilfen vom Jugendamt</w:t>
      </w:r>
      <w:r w:rsidRPr="00297862">
        <w:rPr>
          <w:rFonts w:eastAsia="Times New Roman"/>
          <w:color w:val="000000"/>
        </w:rPr>
        <w:t> </w:t>
      </w:r>
    </w:p>
    <w:p w14:paraId="5F9D2CDA" w14:textId="77777777" w:rsidR="008801A0" w:rsidRPr="00297862" w:rsidRDefault="008801A0" w:rsidP="008801A0">
      <w:pPr>
        <w:pStyle w:val="Listenabsatz"/>
        <w:numPr>
          <w:ilvl w:val="0"/>
          <w:numId w:val="1"/>
        </w:numPr>
        <w:spacing w:before="100" w:beforeAutospacing="1" w:after="100" w:afterAutospacing="1"/>
        <w:rPr>
          <w:color w:val="000000"/>
        </w:rPr>
      </w:pPr>
      <w:r w:rsidRPr="00297862">
        <w:rPr>
          <w:color w:val="000000"/>
        </w:rPr>
        <w:t>Anzahl der Kinder im Haushalt</w:t>
      </w:r>
      <w:r w:rsidRPr="00297862">
        <w:rPr>
          <w:rFonts w:eastAsia="Times New Roman"/>
          <w:color w:val="000000"/>
        </w:rPr>
        <w:t> </w:t>
      </w:r>
    </w:p>
    <w:p w14:paraId="2BCE8143" w14:textId="77777777" w:rsidR="008801A0" w:rsidRPr="00297862" w:rsidRDefault="008801A0" w:rsidP="008801A0">
      <w:pPr>
        <w:pStyle w:val="Listenabsatz"/>
        <w:numPr>
          <w:ilvl w:val="0"/>
          <w:numId w:val="1"/>
        </w:numPr>
        <w:spacing w:before="100" w:beforeAutospacing="1" w:after="100" w:afterAutospacing="1"/>
        <w:rPr>
          <w:color w:val="000000"/>
        </w:rPr>
      </w:pPr>
      <w:r w:rsidRPr="00297862">
        <w:rPr>
          <w:color w:val="000000"/>
        </w:rPr>
        <w:t>Entwicklungsverzögerungen des betreffenden Kindes</w:t>
      </w:r>
      <w:r w:rsidRPr="00297862">
        <w:rPr>
          <w:rFonts w:eastAsia="Times New Roman"/>
          <w:color w:val="000000"/>
        </w:rPr>
        <w:t> </w:t>
      </w:r>
    </w:p>
    <w:p w14:paraId="2C41A78E" w14:textId="77777777" w:rsidR="008801A0" w:rsidRPr="00297862" w:rsidRDefault="008801A0" w:rsidP="008801A0">
      <w:pPr>
        <w:pStyle w:val="Listenabsatz"/>
        <w:numPr>
          <w:ilvl w:val="0"/>
          <w:numId w:val="1"/>
        </w:numPr>
        <w:spacing w:before="100" w:beforeAutospacing="1" w:after="100" w:afterAutospacing="1"/>
        <w:rPr>
          <w:color w:val="000000"/>
        </w:rPr>
      </w:pPr>
      <w:r w:rsidRPr="00297862">
        <w:rPr>
          <w:color w:val="000000"/>
        </w:rPr>
        <w:t>Misshandlungserfahrungen</w:t>
      </w:r>
      <w:r w:rsidRPr="00297862">
        <w:rPr>
          <w:rFonts w:eastAsia="Times New Roman"/>
          <w:color w:val="000000"/>
        </w:rPr>
        <w:t> </w:t>
      </w:r>
    </w:p>
    <w:p w14:paraId="6DC5BF9C" w14:textId="77777777" w:rsidR="008801A0" w:rsidRPr="00297862" w:rsidRDefault="008801A0" w:rsidP="008801A0">
      <w:pPr>
        <w:pStyle w:val="Listenabsatz"/>
        <w:numPr>
          <w:ilvl w:val="0"/>
          <w:numId w:val="1"/>
        </w:numPr>
        <w:spacing w:before="100" w:beforeAutospacing="1" w:after="100" w:afterAutospacing="1"/>
        <w:rPr>
          <w:color w:val="000000"/>
        </w:rPr>
      </w:pPr>
      <w:r w:rsidRPr="00297862">
        <w:rPr>
          <w:color w:val="000000"/>
        </w:rPr>
        <w:t>Suchtprobleme</w:t>
      </w:r>
      <w:r w:rsidRPr="00297862">
        <w:rPr>
          <w:rFonts w:eastAsia="Times New Roman"/>
          <w:color w:val="000000"/>
        </w:rPr>
        <w:t> </w:t>
      </w:r>
    </w:p>
    <w:p w14:paraId="5654B962" w14:textId="77777777" w:rsidR="008801A0" w:rsidRPr="00297862" w:rsidRDefault="008801A0" w:rsidP="008801A0">
      <w:pPr>
        <w:pStyle w:val="Listenabsatz"/>
        <w:numPr>
          <w:ilvl w:val="0"/>
          <w:numId w:val="1"/>
        </w:numPr>
        <w:spacing w:before="100" w:beforeAutospacing="1" w:after="100" w:afterAutospacing="1"/>
        <w:rPr>
          <w:color w:val="000000"/>
        </w:rPr>
      </w:pPr>
      <w:r w:rsidRPr="00297862">
        <w:rPr>
          <w:color w:val="000000"/>
        </w:rPr>
        <w:t>Anwendung unangemessener Strafen</w:t>
      </w:r>
      <w:r w:rsidRPr="00297862">
        <w:rPr>
          <w:rFonts w:eastAsia="Times New Roman"/>
          <w:color w:val="000000"/>
        </w:rPr>
        <w:t> </w:t>
      </w:r>
    </w:p>
    <w:p w14:paraId="0B58CC3B" w14:textId="77777777" w:rsidR="008801A0" w:rsidRPr="00297862" w:rsidRDefault="008801A0" w:rsidP="008801A0">
      <w:pPr>
        <w:pStyle w:val="Listenabsatz"/>
        <w:numPr>
          <w:ilvl w:val="0"/>
          <w:numId w:val="1"/>
        </w:numPr>
        <w:spacing w:before="100" w:beforeAutospacing="1" w:after="100" w:afterAutospacing="1"/>
        <w:rPr>
          <w:color w:val="000000"/>
        </w:rPr>
      </w:pPr>
      <w:r w:rsidRPr="00297862">
        <w:rPr>
          <w:color w:val="000000"/>
        </w:rPr>
        <w:t>Geschichte der Partnerschaftsgewalt</w:t>
      </w:r>
      <w:r w:rsidRPr="00297862">
        <w:rPr>
          <w:rFonts w:eastAsia="Times New Roman"/>
          <w:color w:val="000000"/>
        </w:rPr>
        <w:t> </w:t>
      </w:r>
    </w:p>
    <w:p w14:paraId="689FAEED" w14:textId="77777777" w:rsidR="008801A0" w:rsidRPr="00297862" w:rsidRDefault="008801A0" w:rsidP="008801A0">
      <w:pPr>
        <w:pStyle w:val="Listenabsatz"/>
        <w:numPr>
          <w:ilvl w:val="0"/>
          <w:numId w:val="1"/>
        </w:numPr>
        <w:spacing w:before="100" w:beforeAutospacing="1" w:after="100" w:afterAutospacing="1"/>
        <w:rPr>
          <w:color w:val="000000"/>
        </w:rPr>
      </w:pPr>
      <w:r w:rsidRPr="00297862">
        <w:rPr>
          <w:color w:val="000000"/>
        </w:rPr>
        <w:t>dominanter Erziehungsstil und Veränderungsmotivation</w:t>
      </w:r>
    </w:p>
    <w:p w14:paraId="51069C7A" w14:textId="77777777" w:rsidR="008801A0" w:rsidRPr="00297862" w:rsidRDefault="008801A0" w:rsidP="008801A0">
      <w:pPr>
        <w:pStyle w:val="Listenabsatz"/>
        <w:numPr>
          <w:ilvl w:val="0"/>
          <w:numId w:val="1"/>
        </w:numPr>
        <w:spacing w:before="100" w:beforeAutospacing="1" w:after="100" w:afterAutospacing="1"/>
        <w:rPr>
          <w:color w:val="000000"/>
        </w:rPr>
      </w:pPr>
      <w:r w:rsidRPr="00297862">
        <w:rPr>
          <w:color w:val="000000"/>
        </w:rPr>
        <w:t>Problemeinsicht der Bezugsperson</w:t>
      </w:r>
    </w:p>
    <w:p w14:paraId="05ADE11F" w14:textId="77777777" w:rsidR="008801A0" w:rsidRPr="001D54F6" w:rsidRDefault="008801A0" w:rsidP="008801A0">
      <w:pPr>
        <w:rPr>
          <w:rFonts w:ascii="Calibri" w:hAnsi="Calibri" w:cs="Calibri"/>
          <w:color w:val="000000"/>
          <w:sz w:val="27"/>
          <w:szCs w:val="27"/>
        </w:rPr>
      </w:pPr>
      <w:r w:rsidRPr="001D54F6">
        <w:rPr>
          <w:rFonts w:ascii="TimesNewRomanPS" w:hAnsi="TimesNewRomanPS" w:cs="Calibri"/>
          <w:color w:val="000000"/>
          <w:sz w:val="27"/>
          <w:szCs w:val="27"/>
        </w:rPr>
        <w:t>Um ein solches Programm in der Schweiz zu nutzen, muss das Datenschutzgesetz beachtet werden. Gehen wir davon aus, dass die KESB ein solches Programm auf die Gesamtbevölkerung anwenden möchte und dazu die oben aufgeführten Daten verwendet, ergeben sich datenschutzrechtliche Hürden:</w:t>
      </w:r>
    </w:p>
    <w:p w14:paraId="7AA20BD8" w14:textId="77777777" w:rsidR="008801A0" w:rsidRPr="001D54F6" w:rsidRDefault="008801A0" w:rsidP="008801A0">
      <w:pPr>
        <w:rPr>
          <w:rFonts w:ascii="Calibri" w:hAnsi="Calibri" w:cs="Calibri"/>
          <w:color w:val="000000"/>
          <w:sz w:val="27"/>
          <w:szCs w:val="27"/>
        </w:rPr>
      </w:pPr>
      <w:r w:rsidRPr="001D54F6">
        <w:rPr>
          <w:rFonts w:ascii="TimesNewRomanPS" w:hAnsi="TimesNewRomanPS" w:cs="Calibri"/>
          <w:color w:val="000000"/>
          <w:sz w:val="27"/>
          <w:szCs w:val="27"/>
        </w:rPr>
        <w:t> </w:t>
      </w:r>
    </w:p>
    <w:p w14:paraId="35AD5667" w14:textId="77777777" w:rsidR="008801A0" w:rsidRPr="001D54F6" w:rsidRDefault="008801A0" w:rsidP="008801A0">
      <w:pPr>
        <w:rPr>
          <w:rFonts w:ascii="Calibri" w:hAnsi="Calibri" w:cs="Calibri"/>
          <w:color w:val="000000"/>
          <w:sz w:val="27"/>
          <w:szCs w:val="27"/>
        </w:rPr>
      </w:pPr>
      <w:r w:rsidRPr="001D54F6">
        <w:rPr>
          <w:rFonts w:ascii="Calibri" w:hAnsi="Calibri" w:cs="Calibri"/>
          <w:i/>
          <w:iCs/>
          <w:color w:val="000000"/>
          <w:sz w:val="14"/>
          <w:szCs w:val="14"/>
        </w:rPr>
        <w:t>3 </w:t>
      </w:r>
      <w:r w:rsidRPr="001D54F6">
        <w:rPr>
          <w:rFonts w:ascii="Calibri" w:hAnsi="Calibri" w:cs="Calibri"/>
          <w:i/>
          <w:iCs/>
          <w:color w:val="000000"/>
          <w:sz w:val="27"/>
          <w:szCs w:val="27"/>
        </w:rPr>
        <w:t xml:space="preserve">Personendaten </w:t>
      </w:r>
      <w:proofErr w:type="spellStart"/>
      <w:r w:rsidRPr="001D54F6">
        <w:rPr>
          <w:rFonts w:ascii="Calibri" w:hAnsi="Calibri" w:cs="Calibri"/>
          <w:i/>
          <w:iCs/>
          <w:color w:val="000000"/>
          <w:sz w:val="27"/>
          <w:szCs w:val="27"/>
        </w:rPr>
        <w:t>dürfen</w:t>
      </w:r>
      <w:proofErr w:type="spellEnd"/>
      <w:r w:rsidRPr="001D54F6">
        <w:rPr>
          <w:rFonts w:ascii="Calibri" w:hAnsi="Calibri" w:cs="Calibri"/>
          <w:i/>
          <w:iCs/>
          <w:color w:val="000000"/>
          <w:sz w:val="27"/>
          <w:szCs w:val="27"/>
        </w:rPr>
        <w:t xml:space="preserve"> nur zu dem Zweck bearbeitet werden, der bei der Beschaffung angegeben wurde, aus den </w:t>
      </w:r>
      <w:proofErr w:type="spellStart"/>
      <w:r w:rsidRPr="001D54F6">
        <w:rPr>
          <w:rFonts w:ascii="Calibri" w:hAnsi="Calibri" w:cs="Calibri"/>
          <w:i/>
          <w:iCs/>
          <w:color w:val="000000"/>
          <w:sz w:val="27"/>
          <w:szCs w:val="27"/>
        </w:rPr>
        <w:t>Umständen</w:t>
      </w:r>
      <w:proofErr w:type="spellEnd"/>
      <w:r w:rsidRPr="001D54F6">
        <w:rPr>
          <w:rFonts w:ascii="Calibri" w:hAnsi="Calibri" w:cs="Calibri"/>
          <w:i/>
          <w:iCs/>
          <w:color w:val="000000"/>
          <w:sz w:val="27"/>
          <w:szCs w:val="27"/>
        </w:rPr>
        <w:t xml:space="preserve"> ersichtlich oder gesetzlich vorgesehen ist. </w:t>
      </w:r>
    </w:p>
    <w:p w14:paraId="55D88DDA" w14:textId="77777777" w:rsidR="008801A0" w:rsidRPr="001D54F6" w:rsidRDefault="008801A0" w:rsidP="008801A0">
      <w:pPr>
        <w:rPr>
          <w:rFonts w:ascii="Calibri" w:hAnsi="Calibri" w:cs="Calibri"/>
          <w:color w:val="000000"/>
          <w:sz w:val="27"/>
          <w:szCs w:val="27"/>
        </w:rPr>
      </w:pPr>
      <w:r w:rsidRPr="001D54F6">
        <w:rPr>
          <w:rFonts w:ascii="Calibri" w:hAnsi="Calibri" w:cs="Calibri"/>
          <w:i/>
          <w:iCs/>
          <w:color w:val="000000"/>
          <w:sz w:val="14"/>
          <w:szCs w:val="14"/>
        </w:rPr>
        <w:t>4 </w:t>
      </w:r>
      <w:r w:rsidRPr="001D54F6">
        <w:rPr>
          <w:rFonts w:ascii="Calibri" w:hAnsi="Calibri" w:cs="Calibri"/>
          <w:i/>
          <w:iCs/>
          <w:color w:val="000000"/>
          <w:sz w:val="27"/>
          <w:szCs w:val="27"/>
        </w:rPr>
        <w:t xml:space="preserve">Die Beschaffung von Personendaten und insbesondere der Zweck ihrer Bearbeitung </w:t>
      </w:r>
      <w:proofErr w:type="spellStart"/>
      <w:r w:rsidRPr="001D54F6">
        <w:rPr>
          <w:rFonts w:ascii="Calibri" w:hAnsi="Calibri" w:cs="Calibri"/>
          <w:i/>
          <w:iCs/>
          <w:color w:val="000000"/>
          <w:sz w:val="27"/>
          <w:szCs w:val="27"/>
        </w:rPr>
        <w:t>müssen</w:t>
      </w:r>
      <w:proofErr w:type="spellEnd"/>
      <w:r w:rsidRPr="001D54F6">
        <w:rPr>
          <w:rFonts w:ascii="Calibri" w:hAnsi="Calibri" w:cs="Calibri"/>
          <w:i/>
          <w:iCs/>
          <w:color w:val="000000"/>
          <w:sz w:val="27"/>
          <w:szCs w:val="27"/>
        </w:rPr>
        <w:t xml:space="preserve"> </w:t>
      </w:r>
      <w:proofErr w:type="spellStart"/>
      <w:r w:rsidRPr="001D54F6">
        <w:rPr>
          <w:rFonts w:ascii="Calibri" w:hAnsi="Calibri" w:cs="Calibri"/>
          <w:i/>
          <w:iCs/>
          <w:color w:val="000000"/>
          <w:sz w:val="27"/>
          <w:szCs w:val="27"/>
        </w:rPr>
        <w:t>für</w:t>
      </w:r>
      <w:proofErr w:type="spellEnd"/>
      <w:r w:rsidRPr="001D54F6">
        <w:rPr>
          <w:rFonts w:ascii="Calibri" w:hAnsi="Calibri" w:cs="Calibri"/>
          <w:i/>
          <w:iCs/>
          <w:color w:val="000000"/>
          <w:sz w:val="27"/>
          <w:szCs w:val="27"/>
        </w:rPr>
        <w:t xml:space="preserve"> die betroffene Person erkennbar sein </w:t>
      </w:r>
      <w:r w:rsidRPr="001D54F6">
        <w:rPr>
          <w:rFonts w:ascii="Calibri" w:hAnsi="Calibri" w:cs="Calibri"/>
          <w:color w:val="000000"/>
          <w:sz w:val="27"/>
          <w:szCs w:val="27"/>
        </w:rPr>
        <w:t>(</w:t>
      </w:r>
      <w:hyperlink r:id="rId7" w:anchor="art_4" w:history="1">
        <w:r w:rsidRPr="001D54F6">
          <w:rPr>
            <w:rFonts w:ascii="Calibri" w:hAnsi="Calibri" w:cs="Calibri"/>
            <w:color w:val="954F72"/>
            <w:sz w:val="27"/>
            <w:szCs w:val="27"/>
            <w:u w:val="single"/>
          </w:rPr>
          <w:t>Datenschutzgesetz, 2019, Art.4 Abs 3&amp;4</w:t>
        </w:r>
      </w:hyperlink>
      <w:r w:rsidRPr="001D54F6">
        <w:rPr>
          <w:rFonts w:ascii="Calibri" w:hAnsi="Calibri" w:cs="Calibri"/>
          <w:color w:val="000000"/>
          <w:sz w:val="27"/>
          <w:szCs w:val="27"/>
        </w:rPr>
        <w:t>)</w:t>
      </w:r>
      <w:r w:rsidRPr="001D54F6">
        <w:rPr>
          <w:rFonts w:ascii="Calibri" w:hAnsi="Calibri" w:cs="Calibri"/>
          <w:i/>
          <w:iCs/>
          <w:color w:val="000000"/>
          <w:sz w:val="27"/>
          <w:szCs w:val="27"/>
        </w:rPr>
        <w:t>.</w:t>
      </w:r>
    </w:p>
    <w:p w14:paraId="6FC6B544" w14:textId="77777777" w:rsidR="008801A0" w:rsidRPr="001D54F6" w:rsidRDefault="008801A0" w:rsidP="008801A0">
      <w:pPr>
        <w:rPr>
          <w:rFonts w:ascii="Calibri" w:hAnsi="Calibri" w:cs="Calibri"/>
          <w:color w:val="000000"/>
          <w:sz w:val="27"/>
          <w:szCs w:val="27"/>
        </w:rPr>
      </w:pPr>
      <w:r w:rsidRPr="001D54F6">
        <w:rPr>
          <w:rFonts w:ascii="Calibri" w:hAnsi="Calibri" w:cs="Calibri"/>
          <w:color w:val="000000"/>
          <w:sz w:val="27"/>
          <w:szCs w:val="27"/>
        </w:rPr>
        <w:t xml:space="preserve">Um an die entsprechenden Daten zu gelangen, bedarf es zudem der Mitwirkung verschiedener Institutionen wie etwa der Schule, Ärztinnen, Polizei und mehr. </w:t>
      </w:r>
      <w:r w:rsidRPr="001D54F6">
        <w:rPr>
          <w:rFonts w:ascii="Calibri" w:hAnsi="Calibri" w:cs="Calibri"/>
          <w:color w:val="000000"/>
          <w:sz w:val="27"/>
          <w:szCs w:val="27"/>
        </w:rPr>
        <w:lastRenderedPageBreak/>
        <w:t>Diese unterstehen auch einem Amts- und Berufsgeheimnis </w:t>
      </w:r>
      <w:hyperlink r:id="rId8" w:anchor="art_320" w:history="1">
        <w:r w:rsidRPr="001D54F6">
          <w:rPr>
            <w:rFonts w:ascii="Calibri" w:hAnsi="Calibri" w:cs="Calibri"/>
            <w:color w:val="954F72"/>
            <w:sz w:val="27"/>
            <w:szCs w:val="27"/>
            <w:u w:val="single"/>
          </w:rPr>
          <w:t>(Strafgesetzbuch, 2022, Art 320)</w:t>
        </w:r>
      </w:hyperlink>
      <w:r w:rsidRPr="001D54F6">
        <w:rPr>
          <w:rFonts w:ascii="Calibri" w:hAnsi="Calibri" w:cs="Calibri"/>
          <w:color w:val="000000"/>
          <w:sz w:val="27"/>
          <w:szCs w:val="27"/>
        </w:rPr>
        <w:t>. Zwar kann dieses eingeschränkt werden im Rahmen der Mitwirkungspflicht gegenüber den Behörden, dies trifft bei einer Überwachung der gesamten Bevölkerung jedoch nicht zu.</w:t>
      </w:r>
    </w:p>
    <w:p w14:paraId="3524E013" w14:textId="77777777" w:rsidR="008801A0" w:rsidRPr="001D54F6" w:rsidRDefault="008801A0" w:rsidP="008801A0">
      <w:pPr>
        <w:rPr>
          <w:rFonts w:ascii="Calibri" w:hAnsi="Calibri" w:cs="Calibri"/>
          <w:color w:val="000000"/>
          <w:sz w:val="27"/>
          <w:szCs w:val="27"/>
        </w:rPr>
      </w:pPr>
      <w:r w:rsidRPr="001D54F6">
        <w:rPr>
          <w:rFonts w:ascii="Calibri" w:hAnsi="Calibri" w:cs="Calibri"/>
          <w:color w:val="000000"/>
          <w:sz w:val="27"/>
          <w:szCs w:val="27"/>
        </w:rPr>
        <w:t>Man könnte jedoch argumentieren, dass Kindern und Jugendlichen in der Bundesverfassung einen besonderen Schutzbedarf eingeräumt wird </w:t>
      </w:r>
      <w:hyperlink r:id="rId9" w:anchor="art_11" w:history="1">
        <w:r w:rsidRPr="001D54F6">
          <w:rPr>
            <w:rFonts w:ascii="Calibri" w:hAnsi="Calibri" w:cs="Calibri"/>
            <w:color w:val="954F72"/>
            <w:sz w:val="27"/>
            <w:szCs w:val="27"/>
            <w:u w:val="single"/>
          </w:rPr>
          <w:t>(Bundesverfassung, 2022, Art. 11)</w:t>
        </w:r>
      </w:hyperlink>
      <w:r w:rsidRPr="001D54F6">
        <w:rPr>
          <w:rFonts w:ascii="Calibri" w:hAnsi="Calibri" w:cs="Calibri"/>
          <w:color w:val="000000"/>
          <w:sz w:val="27"/>
          <w:szCs w:val="27"/>
        </w:rPr>
        <w:t>. In der Schweiz könnte mithilfe einer Initiative auch die entsprechende Gesetzesgrundlage geschaffen werden.</w:t>
      </w:r>
    </w:p>
    <w:p w14:paraId="62B501CE" w14:textId="77777777" w:rsidR="008801A0" w:rsidRPr="001D54F6" w:rsidRDefault="008801A0" w:rsidP="008801A0">
      <w:pPr>
        <w:rPr>
          <w:rFonts w:ascii="Calibri" w:hAnsi="Calibri" w:cs="Calibri"/>
          <w:color w:val="000000"/>
          <w:sz w:val="27"/>
          <w:szCs w:val="27"/>
        </w:rPr>
      </w:pPr>
      <w:r w:rsidRPr="001D54F6">
        <w:rPr>
          <w:rFonts w:ascii="Calibri" w:hAnsi="Calibri" w:cs="Calibri"/>
          <w:color w:val="000000"/>
          <w:sz w:val="27"/>
          <w:szCs w:val="27"/>
        </w:rPr>
        <w:t> </w:t>
      </w:r>
    </w:p>
    <w:p w14:paraId="551331EC" w14:textId="77777777" w:rsidR="008801A0" w:rsidRPr="001D54F6" w:rsidRDefault="008801A0" w:rsidP="008801A0">
      <w:pPr>
        <w:rPr>
          <w:rFonts w:ascii="Calibri" w:hAnsi="Calibri" w:cs="Calibri"/>
          <w:color w:val="000000"/>
          <w:sz w:val="27"/>
          <w:szCs w:val="27"/>
        </w:rPr>
      </w:pPr>
      <w:r w:rsidRPr="001D54F6">
        <w:rPr>
          <w:rFonts w:ascii="Calibri" w:hAnsi="Calibri" w:cs="Calibri"/>
          <w:b/>
          <w:bCs/>
          <w:color w:val="000000"/>
          <w:sz w:val="27"/>
          <w:szCs w:val="27"/>
        </w:rPr>
        <w:t>Wo seht ihr die Risiken und Chancen der Nutzung von Big Data in der Sozialen Arbeit?</w:t>
      </w:r>
    </w:p>
    <w:p w14:paraId="065EAF99" w14:textId="77777777" w:rsidR="00490561" w:rsidRDefault="00490561"/>
    <w:sectPr w:rsidR="0049056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NewRomanPS">
    <w:altName w:val="Times New Roman"/>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573DEF"/>
    <w:multiLevelType w:val="hybridMultilevel"/>
    <w:tmpl w:val="568A4C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31031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1A0"/>
    <w:rsid w:val="00097BEC"/>
    <w:rsid w:val="00490561"/>
    <w:rsid w:val="00654DA0"/>
    <w:rsid w:val="008801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607EB"/>
  <w15:chartTrackingRefBased/>
  <w15:docId w15:val="{68F3E397-9BC6-DA4B-B02A-A7489E229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801A0"/>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8801A0"/>
    <w:pPr>
      <w:contextualSpacing/>
    </w:pPr>
    <w:rPr>
      <w:rFonts w:asciiTheme="majorHAnsi" w:eastAsiaTheme="majorEastAsia" w:hAnsiTheme="majorHAnsi" w:cstheme="majorBidi"/>
      <w:spacing w:val="-10"/>
      <w:kern w:val="28"/>
      <w:sz w:val="56"/>
      <w:szCs w:val="56"/>
      <w:lang w:eastAsia="en-US"/>
    </w:rPr>
  </w:style>
  <w:style w:type="character" w:customStyle="1" w:styleId="TitelZchn">
    <w:name w:val="Titel Zchn"/>
    <w:basedOn w:val="Absatz-Standardschriftart"/>
    <w:link w:val="Titel"/>
    <w:uiPriority w:val="10"/>
    <w:rsid w:val="008801A0"/>
    <w:rPr>
      <w:rFonts w:asciiTheme="majorHAnsi" w:eastAsiaTheme="majorEastAsia" w:hAnsiTheme="majorHAnsi" w:cstheme="majorBidi"/>
      <w:spacing w:val="-10"/>
      <w:kern w:val="28"/>
      <w:sz w:val="56"/>
      <w:szCs w:val="56"/>
    </w:rPr>
  </w:style>
  <w:style w:type="paragraph" w:styleId="Listenabsatz">
    <w:name w:val="List Paragraph"/>
    <w:basedOn w:val="Standard"/>
    <w:uiPriority w:val="34"/>
    <w:qFormat/>
    <w:rsid w:val="008801A0"/>
    <w:pPr>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dlex.admin.ch/eli/cc/54/757_781_799/de" TargetMode="External"/><Relationship Id="rId3" Type="http://schemas.openxmlformats.org/officeDocument/2006/relationships/settings" Target="settings.xml"/><Relationship Id="rId7" Type="http://schemas.openxmlformats.org/officeDocument/2006/relationships/hyperlink" Target="https://www.fedlex.admin.ch/eli/cc/1993/1945_1945_1945/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searchgate.net/publication/323267949_Risikodiagnostik_in_der_Sozialen_Arbeit_an_der_Schwelle_zum_digitalen_Zeitalter_von_Big_Data_Analytics"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edlex.admin.ch/eli/cc/1999/404/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395</Words>
  <Characters>2494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Moritz Steiger</dc:creator>
  <cp:keywords/>
  <dc:description/>
  <cp:lastModifiedBy>Moritz Steiger</cp:lastModifiedBy>
  <cp:revision>1</cp:revision>
  <cp:lastPrinted>2022-05-17T12:02:00Z</cp:lastPrinted>
  <dcterms:created xsi:type="dcterms:W3CDTF">2022-05-17T11:55:00Z</dcterms:created>
  <dcterms:modified xsi:type="dcterms:W3CDTF">2022-05-17T12:09:00Z</dcterms:modified>
</cp:coreProperties>
</file>